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D66214">
        <w:trPr>
          <w:trHeight w:val="1471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38235CF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3FB266F1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66214" w:rsidRPr="00D66214">
        <w:rPr>
          <w:rFonts w:cstheme="minorHAnsi"/>
          <w:b/>
          <w:bCs/>
        </w:rPr>
        <w:t xml:space="preserve">Prace eksploatacyjne na terenie Rejonu Energetycznego Tomaszów Lubelski. Część 1 Redukcja materiału tworzącego gniazda bociana białego oraz wymiana platform gniazd na liniach </w:t>
      </w:r>
      <w:proofErr w:type="spellStart"/>
      <w:r w:rsidR="00D66214" w:rsidRPr="00D66214">
        <w:rPr>
          <w:rFonts w:cstheme="minorHAnsi"/>
          <w:b/>
          <w:bCs/>
        </w:rPr>
        <w:t>nN</w:t>
      </w:r>
      <w:proofErr w:type="spellEnd"/>
      <w:r w:rsidR="00D66214" w:rsidRPr="00D66214">
        <w:rPr>
          <w:rFonts w:cstheme="minorHAnsi"/>
          <w:b/>
          <w:bCs/>
        </w:rPr>
        <w:t xml:space="preserve"> na terenie PE Tyszowce, PE Hrubieszów RE Tomaszów Lub. Część 2 Redukcja materiału tworzącego gniazda bociana białego oraz wymiana platform gniazd na liniach </w:t>
      </w:r>
      <w:proofErr w:type="spellStart"/>
      <w:r w:rsidR="00D66214" w:rsidRPr="00D66214">
        <w:rPr>
          <w:rFonts w:cstheme="minorHAnsi"/>
          <w:b/>
          <w:bCs/>
        </w:rPr>
        <w:t>nN</w:t>
      </w:r>
      <w:proofErr w:type="spellEnd"/>
      <w:r w:rsidR="00D66214" w:rsidRPr="00D66214">
        <w:rPr>
          <w:rFonts w:cstheme="minorHAnsi"/>
          <w:b/>
          <w:bCs/>
        </w:rPr>
        <w:t xml:space="preserve"> na terenie PE Lubaczów, RU Tomaszów Lubelski RE Tomaszów L</w:t>
      </w:r>
      <w:r w:rsidR="00D66214">
        <w:rPr>
          <w:rFonts w:cstheme="minorHAnsi"/>
          <w:b/>
          <w:bCs/>
        </w:rPr>
        <w:t>.,</w:t>
      </w:r>
      <w:r w:rsidRPr="00CC7E12">
        <w:rPr>
          <w:rFonts w:cstheme="minorHAnsi"/>
        </w:rPr>
        <w:t xml:space="preserve"> nr </w:t>
      </w:r>
      <w:r w:rsidR="00D66214" w:rsidRPr="00D66214">
        <w:rPr>
          <w:rFonts w:cstheme="minorHAnsi"/>
          <w:b/>
        </w:rPr>
        <w:t>POST/DYS/OZ/GZ/00036/2026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12E13FA6" w14:textId="77777777" w:rsidR="00D66214" w:rsidRPr="00CC7E12" w:rsidRDefault="00D66214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52CD9DFD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0B51AA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B1782EB" w:rsidR="00347E8D" w:rsidRPr="006B2C28" w:rsidRDefault="00D6621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66214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POST/DYS/OZ/GZ/00036/2026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51AA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977D9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1B64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2DA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827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66214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838</Words>
  <Characters>5032</Characters>
  <Application>Microsoft Office Word</Application>
  <DocSecurity>0</DocSecurity>
  <Lines>41</Lines>
  <Paragraphs>11</Paragraphs>
  <ScaleCrop>false</ScaleCrop>
  <Company>PGE Systemy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26</cp:revision>
  <cp:lastPrinted>2024-07-15T11:21:00Z</cp:lastPrinted>
  <dcterms:created xsi:type="dcterms:W3CDTF">2025-01-15T13:15:00Z</dcterms:created>
  <dcterms:modified xsi:type="dcterms:W3CDTF">2026-01-13T10:32:00Z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